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color w:val="FF0000"/>
          <w:spacing w:val="-40"/>
          <w:w w:val="60"/>
          <w:sz w:val="10"/>
          <w:szCs w:val="10"/>
        </w:rPr>
      </w:pPr>
    </w:p>
    <w:p>
      <w:pPr>
        <w:rPr>
          <w:rFonts w:ascii="方正小标宋简体" w:eastAsia="方正小标宋简体"/>
          <w:color w:val="FF0000"/>
          <w:spacing w:val="-40"/>
          <w:w w:val="60"/>
          <w:sz w:val="10"/>
          <w:szCs w:val="10"/>
        </w:rPr>
      </w:pPr>
    </w:p>
    <w:p>
      <w:pPr>
        <w:spacing w:line="1100" w:lineRule="exact"/>
        <w:jc w:val="center"/>
        <w:rPr>
          <w:rFonts w:ascii="方正小标宋简体" w:eastAsia="方正小标宋简体"/>
          <w:color w:val="FF0000"/>
          <w:spacing w:val="567"/>
          <w:w w:val="60"/>
          <w:sz w:val="100"/>
          <w:szCs w:val="100"/>
        </w:rPr>
      </w:pPr>
      <w:r>
        <w:rPr>
          <w:rFonts w:hint="eastAsia" w:ascii="方正小标宋简体" w:eastAsia="方正小标宋简体"/>
          <w:color w:val="FF0000"/>
          <w:spacing w:val="567"/>
          <w:w w:val="90"/>
          <w:sz w:val="70"/>
          <w:szCs w:val="70"/>
        </w:rPr>
        <w:t xml:space="preserve"> 吴忠市</w:t>
      </w:r>
    </w:p>
    <w:p>
      <w:pPr>
        <w:spacing w:line="1100" w:lineRule="exact"/>
        <w:jc w:val="center"/>
        <w:rPr>
          <w:rFonts w:eastAsia="仿宋_GB2312"/>
          <w:color w:val="000000"/>
          <w:sz w:val="84"/>
          <w:szCs w:val="84"/>
        </w:rPr>
      </w:pPr>
      <w:r>
        <w:rPr>
          <w:rFonts w:hint="eastAsia" w:ascii="方正小标宋简体" w:eastAsia="方正小标宋简体"/>
          <w:color w:val="FF0000"/>
          <w:spacing w:val="-11"/>
          <w:w w:val="60"/>
          <w:sz w:val="84"/>
          <w:szCs w:val="84"/>
        </w:rPr>
        <w:t>社会信用体系建设领导小组办公室文件</w:t>
      </w:r>
    </w:p>
    <w:p>
      <w:pPr>
        <w:spacing w:line="1000" w:lineRule="exact"/>
        <w:jc w:val="center"/>
        <w:rPr>
          <w:rFonts w:ascii="方正小标宋简体" w:eastAsia="方正小标宋简体"/>
          <w:color w:val="FF0000"/>
          <w:spacing w:val="200"/>
          <w:sz w:val="32"/>
          <w:szCs w:val="32"/>
        </w:rPr>
      </w:pPr>
      <w:r>
        <w:rPr>
          <w:rFonts w:hint="default" w:ascii="Times New Roman" w:hAnsi="Times New Roman" w:eastAsia="仿宋_GB2312" w:cs="Times New Roman"/>
          <w:color w:val="000000"/>
          <w:sz w:val="32"/>
          <w:szCs w:val="32"/>
        </w:rPr>
        <w:t>吴信用办〔201</w:t>
      </w:r>
      <w:r>
        <w:rPr>
          <w:rFonts w:hint="eastAsia" w:ascii="Times New Roman" w:hAnsi="Times New Roman" w:cs="Times New Roman"/>
          <w:color w:val="000000"/>
          <w:sz w:val="32"/>
          <w:szCs w:val="32"/>
          <w:lang w:val="en-US" w:eastAsia="zh-CN"/>
        </w:rPr>
        <w:t>9</w:t>
      </w:r>
      <w:r>
        <w:rPr>
          <w:rFonts w:hint="default" w:ascii="Times New Roman" w:hAnsi="Times New Roman" w:eastAsia="仿宋_GB2312" w:cs="Times New Roman"/>
          <w:color w:val="000000"/>
          <w:sz w:val="32"/>
          <w:szCs w:val="32"/>
        </w:rPr>
        <w:t>〕</w:t>
      </w:r>
      <w:r>
        <w:rPr>
          <w:rFonts w:hint="eastAsia" w:ascii="Times New Roman" w:hAnsi="Times New Roman" w:cs="Times New Roman"/>
          <w:color w:val="000000"/>
          <w:sz w:val="32"/>
          <w:szCs w:val="32"/>
          <w:lang w:val="en-US" w:eastAsia="zh-CN"/>
        </w:rPr>
        <w:t>12</w:t>
      </w:r>
      <w:bookmarkStart w:id="1" w:name="_GoBack"/>
      <w:bookmarkEnd w:id="1"/>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方正小标宋简体" w:eastAsia="方正小标宋简体"/>
          <w:color w:val="FF0000"/>
          <w:spacing w:val="200"/>
          <w:sz w:val="32"/>
          <w:szCs w:val="32"/>
        </w:rPr>
      </w:pPr>
      <w:r>
        <w:rPr>
          <w:rFonts w:ascii="方正小标宋简体" w:eastAsia="方正小标宋简体"/>
          <w:color w:val="FF0000"/>
          <w:spacing w:val="200"/>
          <w:sz w:val="32"/>
          <w:szCs w:val="32"/>
        </w:rPr>
        <mc:AlternateContent>
          <mc:Choice Requires="wps">
            <w:drawing>
              <wp:anchor distT="0" distB="0" distL="114300" distR="114300" simplePos="0" relativeHeight="251672576" behindDoc="0" locked="0" layoutInCell="1" allowOverlap="1">
                <wp:simplePos x="0" y="0"/>
                <wp:positionH relativeFrom="column">
                  <wp:posOffset>-142240</wp:posOffset>
                </wp:positionH>
                <wp:positionV relativeFrom="paragraph">
                  <wp:posOffset>13970</wp:posOffset>
                </wp:positionV>
                <wp:extent cx="5572125" cy="2540"/>
                <wp:effectExtent l="0" t="0" r="0" b="0"/>
                <wp:wrapNone/>
                <wp:docPr id="1" name="直线 2"/>
                <wp:cNvGraphicFramePr/>
                <a:graphic xmlns:a="http://schemas.openxmlformats.org/drawingml/2006/main">
                  <a:graphicData uri="http://schemas.microsoft.com/office/word/2010/wordprocessingShape">
                    <wps:wsp>
                      <wps:cNvCnPr/>
                      <wps:spPr>
                        <a:xfrm>
                          <a:off x="0" y="0"/>
                          <a:ext cx="5572125" cy="254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1.2pt;margin-top:1.1pt;height:0.2pt;width:438.75pt;z-index:251672576;mso-width-relative:page;mso-height-relative:page;" filled="f" stroked="t" coordsize="21600,21600" o:gfxdata="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6OSYHWAAAABwEAAA8AAAAAAAAAAQAg&#10;AAAAIgAAAGRycy9kb3ducmV2LnhtbFBLAQIUABQAAAAIAIdO4kD6l63q1wEAAJ8DAAAOAAAAAAAA&#10;AAEAIAAAACUBAABkcnMvZTJvRG9jLnhtbFBLBQYAAAAABgAGAFkBAABu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关于转发《关于</w:t>
      </w:r>
      <w:r>
        <w:rPr>
          <w:rFonts w:hint="eastAsia" w:ascii="Times New Roman" w:hAnsi="Times New Roman" w:eastAsia="方正小标宋简体" w:cs="Times New Roman"/>
          <w:sz w:val="44"/>
          <w:szCs w:val="44"/>
          <w:lang w:eastAsia="zh-CN"/>
        </w:rPr>
        <w:t>对慈善捐赠领域相关主体实施守信联合激励和失信联合惩戒的合作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备忘录》的通知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lang w:eastAsia="zh-CN"/>
        </w:rPr>
        <w:t>县（市、区）人民政府，人民银行吴忠中心支行，</w:t>
      </w:r>
      <w:r>
        <w:rPr>
          <w:rFonts w:hint="eastAsia" w:ascii="Times New Roman" w:hAnsi="Times New Roman" w:eastAsia="仿宋_GB2312" w:cs="Times New Roman"/>
          <w:sz w:val="32"/>
          <w:szCs w:val="32"/>
          <w:lang w:eastAsia="zh-CN"/>
        </w:rPr>
        <w:t>市民政局，</w:t>
      </w:r>
      <w:r>
        <w:rPr>
          <w:rFonts w:hint="default" w:ascii="Times New Roman" w:hAnsi="Times New Roman" w:eastAsia="仿宋_GB2312" w:cs="Times New Roman"/>
          <w:sz w:val="32"/>
          <w:szCs w:val="32"/>
          <w:lang w:eastAsia="zh-CN"/>
        </w:rPr>
        <w:t>市委宣传部</w:t>
      </w:r>
      <w:r>
        <w:rPr>
          <w:rFonts w:hint="eastAsia" w:ascii="Times New Roman" w:hAnsi="Times New Roman" w:eastAsia="仿宋_GB2312" w:cs="Times New Roman"/>
          <w:sz w:val="32"/>
          <w:szCs w:val="32"/>
          <w:lang w:eastAsia="zh-CN"/>
        </w:rPr>
        <w:t>、网信办</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市中级人民法院、教育局、科学技术局、工业和信息化局、公安局、司法局、财政局、人力资源和社会保障局、自然资源局、生态环境局、住房和城乡建设局、交通运输局、文化旅游体育广电局、卫生和健康委员会、税务局、市场监督管理局、银保监分局、总工会、团委、妇联、科协</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现将国家发展改革委</w:t>
      </w:r>
      <w:r>
        <w:rPr>
          <w:rFonts w:hint="eastAsia" w:ascii="Times New Roman" w:hAnsi="Times New Roman" w:eastAsia="仿宋_GB2312" w:cs="Times New Roman"/>
          <w:sz w:val="32"/>
          <w:szCs w:val="32"/>
          <w:lang w:val="en-US" w:eastAsia="zh-CN"/>
        </w:rPr>
        <w:t>、人民银行、民政部等</w:t>
      </w:r>
      <w:r>
        <w:rPr>
          <w:rFonts w:hint="default" w:ascii="Times New Roman" w:hAnsi="Times New Roman" w:eastAsia="仿宋_GB2312" w:cs="Times New Roman"/>
          <w:sz w:val="32"/>
          <w:szCs w:val="32"/>
          <w:lang w:val="en-US" w:eastAsia="zh-CN"/>
        </w:rPr>
        <w:t>部门印发</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关于</w:t>
      </w:r>
      <w:r>
        <w:rPr>
          <w:rFonts w:hint="eastAsia" w:ascii="Times New Roman" w:hAnsi="Times New Roman" w:eastAsia="仿宋_GB2312" w:cs="Times New Roman"/>
          <w:sz w:val="32"/>
          <w:szCs w:val="32"/>
          <w:lang w:eastAsia="zh-CN"/>
        </w:rPr>
        <w:t>对慈善捐赠领域相关主体实施守信联合激励和失信联合惩戒的</w:t>
      </w:r>
      <w:r>
        <w:rPr>
          <w:rFonts w:hint="default" w:ascii="Times New Roman" w:hAnsi="Times New Roman" w:eastAsia="仿宋_GB2312" w:cs="Times New Roman"/>
          <w:sz w:val="32"/>
          <w:szCs w:val="32"/>
          <w:lang w:eastAsia="zh-CN"/>
        </w:rPr>
        <w:t>合作备忘录</w:t>
      </w:r>
      <w:r>
        <w:rPr>
          <w:rFonts w:hint="default" w:ascii="Times New Roman" w:hAnsi="Times New Roman" w:eastAsia="仿宋_GB2312" w:cs="Times New Roman"/>
          <w:sz w:val="32"/>
          <w:szCs w:val="32"/>
          <w:lang w:val="en-US" w:eastAsia="zh-CN"/>
        </w:rPr>
        <w:t>》（发改</w:t>
      </w:r>
      <w:r>
        <w:rPr>
          <w:rFonts w:hint="eastAsia" w:ascii="Times New Roman" w:hAnsi="Times New Roman" w:eastAsia="仿宋_GB2312" w:cs="Times New Roman"/>
          <w:sz w:val="32"/>
          <w:szCs w:val="32"/>
          <w:lang w:val="en-US" w:eastAsia="zh-CN"/>
        </w:rPr>
        <w:t>财金</w:t>
      </w:r>
      <w:r>
        <w:rPr>
          <w:rFonts w:hint="default" w:ascii="Times New Roman" w:hAnsi="Times New Roman" w:eastAsia="仿宋" w:cs="Times New Roman"/>
          <w:sz w:val="32"/>
          <w:szCs w:val="32"/>
          <w:lang w:val="en-US" w:eastAsia="zh-CN"/>
        </w:rPr>
        <w:t>﹝201</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331</w:t>
      </w:r>
      <w:r>
        <w:rPr>
          <w:rFonts w:hint="default" w:ascii="Times New Roman" w:hAnsi="Times New Roman" w:eastAsia="仿宋" w:cs="Times New Roman"/>
          <w:sz w:val="32"/>
          <w:szCs w:val="32"/>
          <w:lang w:val="en-US" w:eastAsia="zh-CN"/>
        </w:rPr>
        <w:t>号</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lang w:val="en-US" w:eastAsia="zh-CN"/>
        </w:rPr>
        <w:t>转发给你们。请</w:t>
      </w:r>
      <w:r>
        <w:rPr>
          <w:rFonts w:hint="eastAsia" w:ascii="Times New Roman" w:hAnsi="Times New Roman" w:eastAsia="仿宋_GB2312" w:cs="Times New Roman"/>
          <w:sz w:val="32"/>
          <w:szCs w:val="32"/>
          <w:lang w:eastAsia="zh-CN"/>
        </w:rPr>
        <w:t>市民政局</w:t>
      </w:r>
      <w:r>
        <w:rPr>
          <w:rFonts w:hint="eastAsia" w:ascii="Times New Roman" w:hAnsi="Times New Roman" w:eastAsia="仿宋_GB2312" w:cs="Times New Roman"/>
          <w:sz w:val="32"/>
          <w:szCs w:val="32"/>
          <w:lang w:val="en-US" w:eastAsia="zh-CN"/>
        </w:rPr>
        <w:t>牵</w:t>
      </w:r>
      <w:r>
        <w:rPr>
          <w:rFonts w:hint="eastAsia" w:ascii="Times New Roman" w:hAnsi="Times New Roman" w:eastAsia="仿宋_GB2312" w:cs="Times New Roman"/>
          <w:sz w:val="32"/>
          <w:szCs w:val="32"/>
          <w:lang w:eastAsia="zh-CN"/>
        </w:rPr>
        <w:t>头组织各部门，根据文件内容，结合各自权责清单，梳理对慈善捐赠领域相关主体守信联合激励和失信联合惩戒措施的清单和依据，并推动实施。请各部门、各县（市、区）结合实际抓好贯彻落实。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Times New Roman" w:hAnsi="Times New Roman" w:eastAsia="仿宋_GB2312" w:cs="Times New Roman"/>
          <w:spacing w:val="-20"/>
          <w:sz w:val="32"/>
          <w:szCs w:val="32"/>
          <w:lang w:eastAsia="zh-CN"/>
        </w:rPr>
      </w:pPr>
      <w:r>
        <w:rPr>
          <w:rFonts w:hint="default" w:ascii="Times New Roman" w:hAnsi="Times New Roman" w:eastAsia="仿宋_GB2312" w:cs="Times New Roman"/>
          <w:sz w:val="32"/>
          <w:szCs w:val="32"/>
          <w:lang w:val="en-US" w:eastAsia="zh-CN"/>
        </w:rPr>
        <w:t>附件：《</w:t>
      </w:r>
      <w:r>
        <w:rPr>
          <w:rFonts w:hint="default" w:ascii="Times New Roman" w:hAnsi="Times New Roman" w:eastAsia="仿宋_GB2312" w:cs="Times New Roman"/>
          <w:spacing w:val="-20"/>
          <w:sz w:val="32"/>
          <w:szCs w:val="32"/>
          <w:lang w:eastAsia="zh-CN"/>
        </w:rPr>
        <w:t>关于</w:t>
      </w:r>
      <w:r>
        <w:rPr>
          <w:rFonts w:hint="eastAsia" w:ascii="Times New Roman" w:hAnsi="Times New Roman" w:eastAsia="仿宋_GB2312" w:cs="Times New Roman"/>
          <w:spacing w:val="-20"/>
          <w:sz w:val="32"/>
          <w:szCs w:val="32"/>
          <w:lang w:eastAsia="zh-CN"/>
        </w:rPr>
        <w:t>对慈善捐赠领域相关主体实施守信联合激励和失信联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pacing w:val="-20"/>
          <w:sz w:val="32"/>
          <w:szCs w:val="32"/>
          <w:lang w:val="en-US" w:eastAsia="zh-CN"/>
        </w:rPr>
      </w:pPr>
      <w:r>
        <w:rPr>
          <w:rFonts w:hint="eastAsia" w:ascii="Times New Roman" w:hAnsi="Times New Roman" w:eastAsia="仿宋_GB2312" w:cs="Times New Roman"/>
          <w:spacing w:val="-20"/>
          <w:sz w:val="32"/>
          <w:szCs w:val="32"/>
          <w:lang w:val="en-US" w:eastAsia="zh-CN"/>
        </w:rPr>
        <w:t xml:space="preserve">       </w:t>
      </w:r>
      <w:r>
        <w:rPr>
          <w:rFonts w:hint="eastAsia" w:ascii="Times New Roman" w:hAnsi="Times New Roman" w:eastAsia="仿宋_GB2312" w:cs="Times New Roman"/>
          <w:spacing w:val="-20"/>
          <w:sz w:val="32"/>
          <w:szCs w:val="32"/>
          <w:lang w:eastAsia="zh-CN"/>
        </w:rPr>
        <w:t>合惩戒的合作备忘录</w:t>
      </w:r>
      <w:r>
        <w:rPr>
          <w:rFonts w:hint="default" w:ascii="Times New Roman" w:hAnsi="Times New Roman" w:eastAsia="仿宋_GB2312" w:cs="Times New Roman"/>
          <w:spacing w:val="-20"/>
          <w:sz w:val="32"/>
          <w:szCs w:val="32"/>
          <w:lang w:val="en-US" w:eastAsia="zh-CN"/>
        </w:rPr>
        <w:t>》（</w:t>
      </w:r>
      <w:r>
        <w:rPr>
          <w:rFonts w:hint="default" w:ascii="Times New Roman" w:hAnsi="Times New Roman" w:eastAsia="仿宋_GB2312" w:cs="Times New Roman"/>
          <w:sz w:val="32"/>
          <w:szCs w:val="32"/>
          <w:lang w:val="en-US" w:eastAsia="zh-CN"/>
        </w:rPr>
        <w:t>发改</w:t>
      </w:r>
      <w:r>
        <w:rPr>
          <w:rFonts w:hint="eastAsia" w:ascii="Times New Roman" w:hAnsi="Times New Roman" w:eastAsia="仿宋_GB2312" w:cs="Times New Roman"/>
          <w:sz w:val="32"/>
          <w:szCs w:val="32"/>
          <w:lang w:val="en-US" w:eastAsia="zh-CN"/>
        </w:rPr>
        <w:t>财金</w:t>
      </w:r>
      <w:r>
        <w:rPr>
          <w:rFonts w:hint="default" w:ascii="Times New Roman" w:hAnsi="Times New Roman" w:eastAsia="仿宋" w:cs="Times New Roman"/>
          <w:sz w:val="32"/>
          <w:szCs w:val="32"/>
          <w:lang w:val="en-US" w:eastAsia="zh-CN"/>
        </w:rPr>
        <w:t>﹝201</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331</w:t>
      </w:r>
      <w:r>
        <w:rPr>
          <w:rFonts w:hint="default" w:ascii="Times New Roman" w:hAnsi="Times New Roman" w:eastAsia="仿宋" w:cs="Times New Roman"/>
          <w:sz w:val="32"/>
          <w:szCs w:val="32"/>
          <w:lang w:val="en-US" w:eastAsia="zh-CN"/>
        </w:rPr>
        <w:t>号</w:t>
      </w:r>
      <w:r>
        <w:rPr>
          <w:rFonts w:hint="default" w:ascii="Times New Roman" w:hAnsi="Times New Roman" w:eastAsia="仿宋_GB2312" w:cs="Times New Roman"/>
          <w:spacing w:val="-2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联系人及电话</w:t>
      </w:r>
      <w:r>
        <w:rPr>
          <w:rFonts w:hint="default"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lang w:eastAsia="zh-CN"/>
        </w:rPr>
        <w:t>王</w:t>
      </w:r>
      <w:r>
        <w:rPr>
          <w:rFonts w:hint="eastAsia"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eastAsia="zh-CN"/>
        </w:rPr>
        <w:t>娟</w:t>
      </w:r>
      <w:r>
        <w:rPr>
          <w:rFonts w:hint="eastAsia" w:ascii="Times New Roman" w:hAnsi="Times New Roman" w:eastAsia="仿宋_GB2312" w:cs="Times New Roman"/>
          <w:b w:val="0"/>
          <w:bCs/>
          <w:sz w:val="32"/>
          <w:szCs w:val="32"/>
          <w:lang w:val="en-US" w:eastAsia="zh-CN"/>
        </w:rPr>
        <w:t xml:space="preserve">  2039372   13995356661</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eastAsia="zh-CN"/>
        </w:rPr>
        <w:t>王丽丽</w:t>
      </w:r>
      <w:r>
        <w:rPr>
          <w:rFonts w:hint="eastAsia" w:ascii="Times New Roman" w:hAnsi="Times New Roman" w:eastAsia="仿宋_GB2312" w:cs="Times New Roman"/>
          <w:b w:val="0"/>
          <w:bCs/>
          <w:sz w:val="32"/>
          <w:szCs w:val="32"/>
          <w:lang w:val="en-US" w:eastAsia="zh-CN"/>
        </w:rPr>
        <w:t xml:space="preserve">  2039372 </w:t>
      </w: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15609533356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吴忠</w:t>
      </w:r>
      <w:r>
        <w:rPr>
          <w:rFonts w:hint="default" w:ascii="Times New Roman" w:hAnsi="Times New Roman" w:eastAsia="仿宋_GB2312" w:cs="Times New Roman"/>
          <w:b w:val="0"/>
          <w:bCs/>
          <w:color w:val="auto"/>
          <w:sz w:val="32"/>
          <w:szCs w:val="32"/>
          <w:lang w:eastAsia="zh-CN"/>
        </w:rPr>
        <w:t>市社会信用体系建设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eastAsia="zh-CN"/>
        </w:rPr>
        <w:t>领导小组办公室（代章）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 2019年</w:t>
      </w:r>
      <w:r>
        <w:rPr>
          <w:rFonts w:hint="eastAsia"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lang w:val="en-US" w:eastAsia="zh-CN"/>
        </w:rPr>
        <w:t>月</w:t>
      </w:r>
      <w:r>
        <w:rPr>
          <w:rFonts w:hint="eastAsia"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（此件公开发布）</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314960</wp:posOffset>
                </wp:positionV>
                <wp:extent cx="5636260" cy="19050"/>
                <wp:effectExtent l="0" t="4445" r="2540" b="6985"/>
                <wp:wrapNone/>
                <wp:docPr id="7" name="直接连接符 7"/>
                <wp:cNvGraphicFramePr/>
                <a:graphic xmlns:a="http://schemas.openxmlformats.org/drawingml/2006/main">
                  <a:graphicData uri="http://schemas.microsoft.com/office/word/2010/wordprocessingShape">
                    <wps:wsp>
                      <wps:cNvCnPr/>
                      <wps:spPr>
                        <a:xfrm>
                          <a:off x="1182370" y="8823960"/>
                          <a:ext cx="563626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4.8pt;height:1.5pt;width:443.8pt;z-index:251664384;mso-width-relative:page;mso-height-relative:page;" filled="f" stroked="t" coordsize="21600,21600" o:gfxdata="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l1RDd1QAAAAYBAAAPAAAAAAAAAAEAIAAA&#10;ACIAAABkcnMvZG93bnJldi54bWxQSwECFAAUAAAACACHTuJAYAogwNYBAABzAwAADgAAAAAAAAAB&#10;ACAAAAAkAQAAZHJzL2Uyb0RvYy54bWxQSwUGAAAAAAYABgBZAQAAbAUAAAAA&#10;">
                <v:fill on="f" focussize="0,0"/>
                <v:stroke weight="0.5pt" color="#000000 [3213]" miterlimit="8" joinstyle="miter"/>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00" w:lineRule="exact"/>
        <w:ind w:left="-3" w:leftChars="0" w:right="0" w:rightChars="0" w:firstLine="210" w:firstLine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抄送：委领导，存档。</w:t>
      </w:r>
    </w:p>
    <w:p>
      <w:pPr>
        <w:pStyle w:val="2"/>
        <w:keepNext w:val="0"/>
        <w:keepLines w:val="0"/>
        <w:pageBreakBefore w:val="0"/>
        <w:widowControl w:val="0"/>
        <w:kinsoku/>
        <w:wordWrap/>
        <w:overflowPunct/>
        <w:topLinePunct w:val="0"/>
        <w:autoSpaceDE/>
        <w:autoSpaceDN/>
        <w:bidi w:val="0"/>
        <w:adjustRightInd/>
        <w:snapToGrid/>
        <w:spacing w:line="500" w:lineRule="exact"/>
        <w:ind w:left="-3" w:leftChars="0" w:right="0" w:rightChars="0" w:firstLine="21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337820</wp:posOffset>
                </wp:positionV>
                <wp:extent cx="5636260" cy="19050"/>
                <wp:effectExtent l="0" t="4445" r="2540" b="6985"/>
                <wp:wrapNone/>
                <wp:docPr id="2" name="直接连接符 2"/>
                <wp:cNvGraphicFramePr/>
                <a:graphic xmlns:a="http://schemas.openxmlformats.org/drawingml/2006/main">
                  <a:graphicData uri="http://schemas.microsoft.com/office/word/2010/wordprocessingShape">
                    <wps:wsp>
                      <wps:cNvCnPr/>
                      <wps:spPr>
                        <a:xfrm>
                          <a:off x="0" y="0"/>
                          <a:ext cx="563626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6.6pt;height:1.5pt;width:443.8pt;z-index:251671552;mso-width-relative:page;mso-height-relative:page;" filled="f" stroked="t" coordsize="21600,21600" o:gfxdata="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qE3rJ1AAAAAYBAAAPAAAAAAAAAAEAIAAAACIAAABkcnMvZG93&#10;bnJldi54bWxQSwECFAAUAAAACACHTuJAZMAwLcsBAABnAwAADgAAAAAAAAABACAAAAAjAQAAZHJz&#10;L2Uyb0RvYy54bWxQSwUGAAAAAAYABgBZAQAAYAUAAAAA&#10;">
                <v:fill on="f" focussize="0,0"/>
                <v:stroke weight="0.5pt" color="#000000 [3213]" miterlimit="8" joinstyle="miter"/>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15240</wp:posOffset>
                </wp:positionV>
                <wp:extent cx="5615940" cy="0"/>
                <wp:effectExtent l="0" t="0" r="0" b="0"/>
                <wp:wrapNone/>
                <wp:docPr id="9" name="Line 4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4" o:spid="_x0000_s1026" o:spt="20" style="position:absolute;left:0pt;margin-left:-0.15pt;margin-top:1.2pt;height:0pt;width:442.2pt;z-index:251659264;mso-width-relative:page;mso-height-relative:page;" filled="f" stroked="t" coordsize="21600,21600" o:gfxdata="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kHwrLTAAAABQEAAA8AAAAAAAAAAQAgAAAAIgAAAGRycy9kb3ducmV2LnhtbFBL&#10;AQIUABQAAAAIAIdO4kAff2W9wgEAAIwDAAAOAAAAAAAAAAEAIAAAACIBAABkcnMvZTJvRG9jLnht&#10;bFBLBQYAAAAABgAGAFkBAABW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eastAsia="zh-CN"/>
        </w:rPr>
        <w:t>吴忠市</w:t>
      </w:r>
      <w:r>
        <w:rPr>
          <w:rFonts w:hint="default" w:ascii="Times New Roman" w:hAnsi="Times New Roman" w:eastAsia="仿宋_GB2312" w:cs="Times New Roman"/>
          <w:sz w:val="28"/>
          <w:szCs w:val="28"/>
        </w:rPr>
        <w:t xml:space="preserve">发展和改革委员会办公室 </w:t>
      </w:r>
      <w:bookmarkStart w:id="0" w:name="taohongriqi"/>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201</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月</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日</w:t>
      </w:r>
      <w:bookmarkEnd w:id="0"/>
      <w:r>
        <w:rPr>
          <w:rFonts w:hint="default" w:ascii="Times New Roman" w:hAnsi="Times New Roman" w:eastAsia="仿宋_GB2312" w:cs="Times New Roman"/>
          <w:sz w:val="28"/>
          <w:szCs w:val="28"/>
        </w:rPr>
        <w:t>印发</w:t>
      </w:r>
    </w:p>
    <w:sectPr>
      <w:headerReference r:id="rId3" w:type="default"/>
      <w:footerReference r:id="rId4" w:type="default"/>
      <w:pgSz w:w="11906" w:h="16838"/>
      <w:pgMar w:top="1984" w:right="1588" w:bottom="1701"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大标宋_GBK">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modern"/>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方正书宋简体">
    <w:altName w:val="宋体"/>
    <w:panose1 w:val="00000000000000000000"/>
    <w:charset w:val="00"/>
    <w:family w:val="auto"/>
    <w:pitch w:val="default"/>
    <w:sig w:usb0="00000000" w:usb1="00000000" w:usb2="00000000" w:usb3="00000000" w:csb0="00040001" w:csb1="00000000"/>
  </w:font>
  <w:font w:name="方正书宋_GBK">
    <w:altName w:val="微软雅黑"/>
    <w:panose1 w:val="03000509000000000000"/>
    <w:charset w:val="86"/>
    <w:family w:val="auto"/>
    <w:pitch w:val="default"/>
    <w:sig w:usb0="00000000" w:usb1="00000000" w:usb2="00000000" w:usb3="00000000" w:csb0="00040000" w:csb1="00000000"/>
  </w:font>
  <w:font w:name="inherit">
    <w:altName w:val="Times New Roman"/>
    <w:panose1 w:val="00000000000000000000"/>
    <w:charset w:val="00"/>
    <w:family w:val="decorative"/>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Constantia">
    <w:panose1 w:val="02030602050306030303"/>
    <w:charset w:val="00"/>
    <w:family w:val="auto"/>
    <w:pitch w:val="default"/>
    <w:sig w:usb0="A00002EF" w:usb1="4000204B" w:usb2="00000000" w:usb3="00000000" w:csb0="2000019F" w:csb1="00000000"/>
  </w:font>
  <w:font w:name="Cordia New">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F37A5"/>
    <w:rsid w:val="03031260"/>
    <w:rsid w:val="04880381"/>
    <w:rsid w:val="04C7603C"/>
    <w:rsid w:val="077B520C"/>
    <w:rsid w:val="0A116E75"/>
    <w:rsid w:val="14875ED3"/>
    <w:rsid w:val="17D3230B"/>
    <w:rsid w:val="1A0374AA"/>
    <w:rsid w:val="1A21064D"/>
    <w:rsid w:val="1EC27E9C"/>
    <w:rsid w:val="1FA97310"/>
    <w:rsid w:val="220C623D"/>
    <w:rsid w:val="22287F60"/>
    <w:rsid w:val="223D60AE"/>
    <w:rsid w:val="23A276B4"/>
    <w:rsid w:val="2D84333B"/>
    <w:rsid w:val="330F4CBD"/>
    <w:rsid w:val="3BFF08ED"/>
    <w:rsid w:val="4224087E"/>
    <w:rsid w:val="452A244D"/>
    <w:rsid w:val="476622CC"/>
    <w:rsid w:val="48AC6C2B"/>
    <w:rsid w:val="496D71D0"/>
    <w:rsid w:val="4B1A1B2A"/>
    <w:rsid w:val="4DBA6AB2"/>
    <w:rsid w:val="50065BB9"/>
    <w:rsid w:val="50C56215"/>
    <w:rsid w:val="542E793A"/>
    <w:rsid w:val="54DD3044"/>
    <w:rsid w:val="5B2628DD"/>
    <w:rsid w:val="5C9D7F53"/>
    <w:rsid w:val="5CC17481"/>
    <w:rsid w:val="62FF5411"/>
    <w:rsid w:val="64FD7CBF"/>
    <w:rsid w:val="65EF37A5"/>
    <w:rsid w:val="6E83217F"/>
    <w:rsid w:val="704C3AD4"/>
    <w:rsid w:val="70CF27A6"/>
    <w:rsid w:val="710C576A"/>
    <w:rsid w:val="73664699"/>
    <w:rsid w:val="743F6EEB"/>
    <w:rsid w:val="746E1FB9"/>
    <w:rsid w:val="751A566D"/>
    <w:rsid w:val="7CC62D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left="-3" w:firstLine="210"/>
    </w:pPr>
    <w:rPr>
      <w:rFonts w:ascii="楷体_GB2312" w:hAnsi="华文中宋" w:eastAsia="楷体_GB2312"/>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2019-01-07T08:03:00Z</dcterms:created>
  <dc:creator>王娟</dc:creator>
  <cp:lastModifiedBy>Administrator</cp:lastModifiedBy>
  <cp:lastPrinted>2019-01-08T03:44:00Z</cp:lastPrinted>
  <dcterms:modified xsi:type="dcterms:W3CDTF">2019-04-01T07:27:25Z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